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856" w:rsidRDefault="001D3856" w:rsidP="009B33FD">
      <w:pPr>
        <w:pStyle w:val="Titre"/>
        <w:jc w:val="center"/>
      </w:pPr>
      <w:r>
        <w:t xml:space="preserve">Colloque FIPHFP – 12 décembre </w:t>
      </w:r>
      <w:r w:rsidRPr="009B33FD">
        <w:t>2022</w:t>
      </w:r>
      <w:r>
        <w:t xml:space="preserve"> – session 3</w:t>
      </w:r>
    </w:p>
    <w:p w:rsidR="001D3856" w:rsidRDefault="001D3856" w:rsidP="001D3856">
      <w:pPr>
        <w:spacing w:after="60"/>
        <w:rPr>
          <w:rFonts w:ascii="Arial" w:hAnsi="Arial" w:cs="Arial"/>
        </w:rPr>
      </w:pPr>
      <w:r w:rsidRPr="00F8656E">
        <w:rPr>
          <w:rFonts w:ascii="Arial" w:hAnsi="Arial" w:cs="Arial"/>
          <w:u w:val="single"/>
        </w:rPr>
        <w:t>Thème de la session</w:t>
      </w:r>
      <w:r>
        <w:rPr>
          <w:rFonts w:ascii="Arial" w:hAnsi="Arial" w:cs="Arial"/>
        </w:rPr>
        <w:t> :</w:t>
      </w:r>
    </w:p>
    <w:p w:rsidR="00C4354E" w:rsidRPr="00647412" w:rsidRDefault="00C4354E" w:rsidP="00C4354E">
      <w:pPr>
        <w:rPr>
          <w:rFonts w:ascii="Arial" w:hAnsi="Arial" w:cs="Arial"/>
        </w:rPr>
      </w:pPr>
      <w:r w:rsidRPr="00647412">
        <w:rPr>
          <w:rFonts w:ascii="Arial" w:hAnsi="Arial" w:cs="Arial"/>
        </w:rPr>
        <w:t xml:space="preserve">Comment je peux être </w:t>
      </w:r>
      <w:r>
        <w:rPr>
          <w:rFonts w:ascii="Arial" w:hAnsi="Arial" w:cs="Arial"/>
        </w:rPr>
        <w:t>accompagné</w:t>
      </w:r>
      <w:r w:rsidRPr="00647412">
        <w:rPr>
          <w:rFonts w:ascii="Arial" w:hAnsi="Arial" w:cs="Arial"/>
        </w:rPr>
        <w:t xml:space="preserve"> par, à la fois, des prestataires et également sur le plan financier comment je peux être </w:t>
      </w:r>
      <w:r>
        <w:rPr>
          <w:rFonts w:ascii="Arial" w:hAnsi="Arial" w:cs="Arial"/>
        </w:rPr>
        <w:t>aidé</w:t>
      </w:r>
      <w:r w:rsidRPr="00647412">
        <w:rPr>
          <w:rFonts w:ascii="Arial" w:hAnsi="Arial" w:cs="Arial"/>
        </w:rPr>
        <w:t xml:space="preserve"> aussi dans cette démarche</w:t>
      </w:r>
      <w:r w:rsidR="001D3856">
        <w:rPr>
          <w:rFonts w:ascii="Arial" w:hAnsi="Arial" w:cs="Arial"/>
        </w:rPr>
        <w:t>.</w:t>
      </w:r>
    </w:p>
    <w:p w:rsidR="002909C4" w:rsidRPr="009B33FD" w:rsidRDefault="002909C4" w:rsidP="009B33FD">
      <w:pPr>
        <w:pStyle w:val="Titre1"/>
      </w:pPr>
      <w:r w:rsidRPr="009B33FD">
        <w:t>Animation du déroulé de la session</w:t>
      </w:r>
    </w:p>
    <w:p w:rsidR="001D3856" w:rsidRPr="009B33FD" w:rsidRDefault="001D3856" w:rsidP="009B33FD">
      <w:pPr>
        <w:pStyle w:val="Titre2"/>
      </w:pPr>
      <w:r w:rsidRPr="009B33FD">
        <w:t xml:space="preserve">Question du modérateur : </w:t>
      </w:r>
      <w:r w:rsidR="002909C4" w:rsidRPr="009B33FD">
        <w:t>« </w:t>
      </w:r>
      <w:r w:rsidRPr="009B33FD">
        <w:rPr>
          <w:b/>
        </w:rPr>
        <w:t xml:space="preserve">La DINUM peut-elle nous recommander une approche permettant d’aborder </w:t>
      </w:r>
      <w:r w:rsidR="002909C4" w:rsidRPr="009B33FD">
        <w:rPr>
          <w:b/>
        </w:rPr>
        <w:t>ces sujets ?</w:t>
      </w:r>
      <w:r w:rsidR="002909C4" w:rsidRPr="009B33FD">
        <w:t> »</w:t>
      </w:r>
    </w:p>
    <w:p w:rsidR="00C4354E" w:rsidRPr="00647412" w:rsidRDefault="001D3856" w:rsidP="00C4354E">
      <w:pPr>
        <w:rPr>
          <w:rFonts w:ascii="Arial" w:hAnsi="Arial" w:cs="Arial"/>
        </w:rPr>
      </w:pPr>
      <w:r>
        <w:rPr>
          <w:rFonts w:ascii="Arial" w:hAnsi="Arial" w:cs="Arial"/>
        </w:rPr>
        <w:t>Réponse DINUM :</w:t>
      </w:r>
    </w:p>
    <w:p w:rsidR="002909C4" w:rsidRDefault="002909C4" w:rsidP="00894251">
      <w:pPr>
        <w:spacing w:after="60"/>
        <w:ind w:left="709"/>
      </w:pPr>
      <w:r>
        <w:t>Pour envisager un accompagnement par un prestataire, il faut savoir quelle forme d’accompagnement est attendue et quand ?</w:t>
      </w:r>
    </w:p>
    <w:p w:rsidR="001D57DB" w:rsidRDefault="00F8656E" w:rsidP="00894251">
      <w:pPr>
        <w:spacing w:after="60"/>
        <w:ind w:left="709"/>
      </w:pPr>
      <w:r>
        <w:t>Donc, c</w:t>
      </w:r>
      <w:r w:rsidR="001D57DB">
        <w:t>ommencer par i</w:t>
      </w:r>
      <w:r w:rsidR="00932786">
        <w:t>dentifier les actions sur lesquelles un besoin d’accompagnement externe est envisagé</w:t>
      </w:r>
      <w:r w:rsidR="001D57DB">
        <w:t xml:space="preserve">. Par exemple, </w:t>
      </w:r>
    </w:p>
    <w:p w:rsidR="00932786" w:rsidRDefault="00932786" w:rsidP="00894251">
      <w:pPr>
        <w:spacing w:after="60"/>
        <w:ind w:left="709"/>
      </w:pPr>
      <w:r>
        <w:t xml:space="preserve">À partir de la démarche d’élaboration du schéma pluriannuel d’amélioration et de la déclinaison en plan d’actions : </w:t>
      </w:r>
      <w:r w:rsidR="001D57DB">
        <w:t xml:space="preserve">qui </w:t>
      </w:r>
      <w:r>
        <w:t>va permettre d’</w:t>
      </w:r>
      <w:r w:rsidR="001D57DB">
        <w:t>identifier d</w:t>
      </w:r>
      <w:r>
        <w:t xml:space="preserve">es actions </w:t>
      </w:r>
      <w:r w:rsidR="001D57DB">
        <w:t xml:space="preserve">d’amélioration de l’accessibilité </w:t>
      </w:r>
      <w:r>
        <w:t xml:space="preserve">et de les positionner dans le temps </w:t>
      </w:r>
      <w:r w:rsidR="001D57DB">
        <w:t>…</w:t>
      </w:r>
    </w:p>
    <w:p w:rsidR="00C4354E" w:rsidRPr="00932786" w:rsidRDefault="001D57DB" w:rsidP="00894251">
      <w:pPr>
        <w:spacing w:after="60"/>
        <w:ind w:left="709"/>
        <w:rPr>
          <w:b/>
        </w:rPr>
      </w:pPr>
      <w:r>
        <w:t>En synthèse, rappelons que l</w:t>
      </w:r>
      <w:r w:rsidR="00932786">
        <w:t>e schéma pluriannuel présenté précédemme</w:t>
      </w:r>
      <w:r w:rsidR="00F8656E">
        <w:t>nt (dans c</w:t>
      </w:r>
      <w:r w:rsidR="00932786">
        <w:t xml:space="preserve">e colloque) décline la </w:t>
      </w:r>
      <w:r w:rsidR="00C4354E" w:rsidRPr="00932786">
        <w:rPr>
          <w:b/>
        </w:rPr>
        <w:t>Stratégie d’amélioration de l’</w:t>
      </w:r>
      <w:r w:rsidR="0033083F" w:rsidRPr="00932786">
        <w:rPr>
          <w:b/>
        </w:rPr>
        <w:t>accessibilité d</w:t>
      </w:r>
      <w:r w:rsidR="00C4354E" w:rsidRPr="00932786">
        <w:rPr>
          <w:b/>
        </w:rPr>
        <w:t>es productions numériques</w:t>
      </w:r>
      <w:r w:rsidR="0033083F" w:rsidRPr="00932786">
        <w:rPr>
          <w:b/>
        </w:rPr>
        <w:t xml:space="preserve"> </w:t>
      </w:r>
      <w:r>
        <w:rPr>
          <w:b/>
        </w:rPr>
        <w:t>de mon</w:t>
      </w:r>
      <w:r w:rsidR="0033083F" w:rsidRPr="00932786">
        <w:rPr>
          <w:b/>
        </w:rPr>
        <w:t xml:space="preserve"> organisme</w:t>
      </w:r>
    </w:p>
    <w:p w:rsidR="00C4354E" w:rsidRDefault="00C4354E" w:rsidP="001D57DB">
      <w:pPr>
        <w:pStyle w:val="Paragraphedeliste"/>
        <w:numPr>
          <w:ilvl w:val="0"/>
          <w:numId w:val="2"/>
        </w:numPr>
        <w:ind w:left="1428"/>
      </w:pPr>
      <w:r>
        <w:t>Champ d’application : Inventaire de mes productions</w:t>
      </w:r>
      <w:r w:rsidR="00FE38E2">
        <w:t xml:space="preserve"> </w:t>
      </w:r>
      <w:r w:rsidR="00FE38E2">
        <w:br/>
        <w:t xml:space="preserve">+ cible : </w:t>
      </w:r>
      <w:r w:rsidR="00A54E66">
        <w:t>volumétrie (nb utilisateurs  x nb utilisations</w:t>
      </w:r>
      <w:proofErr w:type="gramStart"/>
      <w:r w:rsidR="00A54E66">
        <w:t>)</w:t>
      </w:r>
      <w:proofErr w:type="gramEnd"/>
      <w:r w:rsidR="00FE38E2">
        <w:br/>
        <w:t xml:space="preserve">+ situation : stable, </w:t>
      </w:r>
      <w:r w:rsidR="00A54E66">
        <w:t xml:space="preserve">en </w:t>
      </w:r>
      <w:r w:rsidR="00FE38E2">
        <w:t xml:space="preserve">évolution, </w:t>
      </w:r>
      <w:r w:rsidR="00A54E66">
        <w:t xml:space="preserve">récent ou </w:t>
      </w:r>
      <w:r w:rsidR="00FE38E2">
        <w:t>nouveau</w:t>
      </w:r>
    </w:p>
    <w:p w:rsidR="00332CC6" w:rsidRDefault="00932786" w:rsidP="001D57DB">
      <w:pPr>
        <w:pStyle w:val="Paragraphedeliste"/>
        <w:numPr>
          <w:ilvl w:val="0"/>
          <w:numId w:val="2"/>
        </w:numPr>
        <w:spacing w:after="0"/>
        <w:ind w:left="1428"/>
      </w:pPr>
      <w:r>
        <w:t>Leur é</w:t>
      </w:r>
      <w:r w:rsidR="00332CC6">
        <w:t xml:space="preserve">tat de conformité </w:t>
      </w:r>
    </w:p>
    <w:p w:rsidR="00332CC6" w:rsidRDefault="00332CC6" w:rsidP="001D57DB">
      <w:pPr>
        <w:pStyle w:val="Paragraphedeliste"/>
        <w:numPr>
          <w:ilvl w:val="1"/>
          <w:numId w:val="2"/>
        </w:numPr>
        <w:spacing w:after="0"/>
        <w:ind w:left="2148"/>
      </w:pPr>
      <w:r>
        <w:t>Totalement conforme : objectif atteint</w:t>
      </w:r>
    </w:p>
    <w:p w:rsidR="00332CC6" w:rsidRDefault="00332CC6" w:rsidP="001D57DB">
      <w:pPr>
        <w:pStyle w:val="Paragraphedeliste"/>
        <w:numPr>
          <w:ilvl w:val="1"/>
          <w:numId w:val="2"/>
        </w:numPr>
        <w:spacing w:after="0"/>
        <w:ind w:left="2148"/>
      </w:pPr>
      <w:r>
        <w:t>Partiellement conforme : défauts identifiés et à corriger</w:t>
      </w:r>
    </w:p>
    <w:p w:rsidR="00C4354E" w:rsidRDefault="00332CC6" w:rsidP="001D57DB">
      <w:pPr>
        <w:pStyle w:val="Paragraphedeliste"/>
        <w:numPr>
          <w:ilvl w:val="1"/>
          <w:numId w:val="2"/>
        </w:numPr>
        <w:spacing w:after="0"/>
        <w:ind w:left="2148"/>
      </w:pPr>
      <w:r>
        <w:t>Non conforme : situation inconnue</w:t>
      </w:r>
    </w:p>
    <w:p w:rsidR="00C4354E" w:rsidRDefault="00C4354E" w:rsidP="001D57DB">
      <w:pPr>
        <w:pStyle w:val="Paragraphedeliste"/>
        <w:numPr>
          <w:ilvl w:val="0"/>
          <w:numId w:val="2"/>
        </w:numPr>
        <w:ind w:left="1428"/>
      </w:pPr>
      <w:r>
        <w:t>Capacité à produire : Organisation et acteurs concernés (acteurs internes</w:t>
      </w:r>
      <w:r w:rsidR="00932786">
        <w:t xml:space="preserve">) </w:t>
      </w:r>
    </w:p>
    <w:p w:rsidR="00C4354E" w:rsidRDefault="00C4354E" w:rsidP="001D57DB">
      <w:pPr>
        <w:pStyle w:val="Paragraphedeliste"/>
        <w:numPr>
          <w:ilvl w:val="0"/>
          <w:numId w:val="2"/>
        </w:numPr>
        <w:ind w:left="1428"/>
      </w:pPr>
      <w:r>
        <w:t>Évaluation des connaissances et compétences</w:t>
      </w:r>
      <w:r w:rsidR="00932786">
        <w:t xml:space="preserve"> des équipes internes de</w:t>
      </w:r>
      <w:r w:rsidR="00332CC6">
        <w:t xml:space="preserve"> l’organisation</w:t>
      </w:r>
    </w:p>
    <w:p w:rsidR="00932786" w:rsidRDefault="00932786" w:rsidP="001D57DB">
      <w:pPr>
        <w:pStyle w:val="Paragraphedeliste"/>
        <w:numPr>
          <w:ilvl w:val="0"/>
          <w:numId w:val="2"/>
        </w:numPr>
        <w:ind w:left="1428"/>
      </w:pPr>
      <w:r>
        <w:t>Les plans d’actions : quelles priorités et quand : 1</w:t>
      </w:r>
      <w:r w:rsidRPr="00932786">
        <w:rPr>
          <w:vertAlign w:val="superscript"/>
        </w:rPr>
        <w:t>ère</w:t>
      </w:r>
      <w:r>
        <w:t>, 2</w:t>
      </w:r>
      <w:r w:rsidRPr="00932786">
        <w:rPr>
          <w:vertAlign w:val="superscript"/>
        </w:rPr>
        <w:t>e</w:t>
      </w:r>
      <w:r>
        <w:t xml:space="preserve"> ou 3</w:t>
      </w:r>
      <w:r w:rsidRPr="00932786">
        <w:rPr>
          <w:vertAlign w:val="superscript"/>
        </w:rPr>
        <w:t>e</w:t>
      </w:r>
      <w:r>
        <w:t xml:space="preserve"> année</w:t>
      </w:r>
    </w:p>
    <w:p w:rsidR="002909C4" w:rsidRDefault="002909C4" w:rsidP="00894251">
      <w:pPr>
        <w:spacing w:after="120"/>
        <w:ind w:left="709"/>
      </w:pPr>
      <w:r>
        <w:t>Cela permet d’identifier : les sujets pour lesquels un accompagnement serait à envisager et dans quel objectif temporel de réalisation</w:t>
      </w:r>
      <w:r w:rsidR="00EF5A3A">
        <w:t xml:space="preserve"> (cette année, l’année prochaine, ou plus tard ?)</w:t>
      </w:r>
      <w:bookmarkStart w:id="0" w:name="_GoBack"/>
      <w:bookmarkEnd w:id="0"/>
    </w:p>
    <w:p w:rsidR="001D57DB" w:rsidRPr="001D57DB" w:rsidRDefault="001D57DB" w:rsidP="009B33FD">
      <w:pPr>
        <w:pStyle w:val="Titre2"/>
      </w:pPr>
      <w:r w:rsidRPr="001D57DB">
        <w:t>Question du modérateur : « </w:t>
      </w:r>
      <w:r w:rsidRPr="009B33FD">
        <w:rPr>
          <w:b/>
        </w:rPr>
        <w:t>Pouvez-vous nous donner des exemples concrets d’action</w:t>
      </w:r>
      <w:r w:rsidR="003B166D" w:rsidRPr="009B33FD">
        <w:rPr>
          <w:b/>
        </w:rPr>
        <w:t xml:space="preserve"> pouvant être demandée à un prestataire</w:t>
      </w:r>
      <w:r w:rsidRPr="009B33FD">
        <w:rPr>
          <w:b/>
        </w:rPr>
        <w:t> ?</w:t>
      </w:r>
      <w:r w:rsidRPr="001D57DB">
        <w:t> »</w:t>
      </w:r>
    </w:p>
    <w:p w:rsidR="001D57DB" w:rsidRDefault="001D57DB" w:rsidP="00894251">
      <w:pPr>
        <w:spacing w:after="60"/>
        <w:rPr>
          <w:rFonts w:ascii="Arial" w:hAnsi="Arial" w:cs="Arial"/>
        </w:rPr>
      </w:pPr>
      <w:r>
        <w:rPr>
          <w:rFonts w:ascii="Arial" w:hAnsi="Arial" w:cs="Arial"/>
        </w:rPr>
        <w:t xml:space="preserve">Réponse DINUM : </w:t>
      </w:r>
    </w:p>
    <w:p w:rsidR="00F873EF" w:rsidRPr="00894251" w:rsidRDefault="001D57DB" w:rsidP="00894251">
      <w:pPr>
        <w:spacing w:after="60"/>
        <w:ind w:left="709"/>
      </w:pPr>
      <w:r w:rsidRPr="00894251">
        <w:t>Les actions vont dépendre du rôle des acteurs dans l’organisation et du besoin d’accompagnement de ces acteurs</w:t>
      </w:r>
    </w:p>
    <w:p w:rsidR="00F873EF" w:rsidRDefault="001D57DB" w:rsidP="003B166D">
      <w:pPr>
        <w:pStyle w:val="Paragraphedeliste"/>
        <w:numPr>
          <w:ilvl w:val="0"/>
          <w:numId w:val="4"/>
        </w:numPr>
        <w:spacing w:after="60"/>
      </w:pPr>
      <w:r>
        <w:t xml:space="preserve">Pour les équipes qui délivrent une </w:t>
      </w:r>
      <w:r w:rsidR="0033083F">
        <w:t xml:space="preserve">production numérique </w:t>
      </w:r>
    </w:p>
    <w:p w:rsidR="00A54E66" w:rsidRPr="00894251" w:rsidRDefault="00A54E66" w:rsidP="00894251">
      <w:pPr>
        <w:pStyle w:val="Paragraphedeliste"/>
        <w:numPr>
          <w:ilvl w:val="0"/>
          <w:numId w:val="2"/>
        </w:numPr>
        <w:ind w:left="1428"/>
        <w:rPr>
          <w:b/>
        </w:rPr>
      </w:pPr>
      <w:r w:rsidRPr="00894251">
        <w:rPr>
          <w:b/>
        </w:rPr>
        <w:t>Besoin en sensibilisation et en formation</w:t>
      </w:r>
      <w:r w:rsidR="003B166D">
        <w:rPr>
          <w:b/>
        </w:rPr>
        <w:t xml:space="preserve"> : </w:t>
      </w:r>
      <w:r w:rsidR="003B166D" w:rsidRPr="003B166D">
        <w:t>plusieurs thèmes de formation</w:t>
      </w:r>
    </w:p>
    <w:p w:rsidR="00DF279A" w:rsidRDefault="00DF279A" w:rsidP="00894251">
      <w:pPr>
        <w:pStyle w:val="Paragraphedeliste"/>
        <w:numPr>
          <w:ilvl w:val="1"/>
          <w:numId w:val="2"/>
        </w:numPr>
        <w:ind w:left="1788"/>
      </w:pPr>
      <w:r>
        <w:t xml:space="preserve">Pour ceux qui </w:t>
      </w:r>
      <w:r w:rsidR="00894251">
        <w:t xml:space="preserve">produisent les services </w:t>
      </w:r>
      <w:r>
        <w:t>et, éga</w:t>
      </w:r>
      <w:r w:rsidR="00894251">
        <w:t xml:space="preserve">lement les contenus numériques </w:t>
      </w:r>
      <w:r>
        <w:t xml:space="preserve">proposés par les </w:t>
      </w:r>
      <w:r w:rsidR="00894251">
        <w:t xml:space="preserve">services : </w:t>
      </w:r>
    </w:p>
    <w:p w:rsidR="00DF279A" w:rsidRDefault="00DF279A" w:rsidP="00894251">
      <w:pPr>
        <w:pStyle w:val="Paragraphedeliste"/>
        <w:numPr>
          <w:ilvl w:val="2"/>
          <w:numId w:val="2"/>
        </w:numPr>
        <w:ind w:left="2508"/>
      </w:pPr>
      <w:r>
        <w:t>Éditeurs de contenus (numériques) : articles, documents, rapports, médias, …</w:t>
      </w:r>
    </w:p>
    <w:p w:rsidR="00DF279A" w:rsidRDefault="00DF279A" w:rsidP="00894251">
      <w:pPr>
        <w:pStyle w:val="Paragraphedeliste"/>
        <w:numPr>
          <w:ilvl w:val="2"/>
          <w:numId w:val="2"/>
        </w:numPr>
        <w:ind w:left="2508"/>
      </w:pPr>
      <w:r>
        <w:t xml:space="preserve">Concepteurs, designers, développeurs, testeurs, intégrateurs, </w:t>
      </w:r>
      <w:r w:rsidR="00610C76">
        <w:t>administrateurs de mise en production</w:t>
      </w:r>
      <w:r w:rsidR="00E1638A">
        <w:t>, …</w:t>
      </w:r>
    </w:p>
    <w:p w:rsidR="00610C76" w:rsidRDefault="00610C76" w:rsidP="00894251">
      <w:pPr>
        <w:pStyle w:val="Paragraphedeliste"/>
        <w:numPr>
          <w:ilvl w:val="2"/>
          <w:numId w:val="2"/>
        </w:numPr>
        <w:ind w:left="2508"/>
      </w:pPr>
      <w:r>
        <w:t xml:space="preserve">Inspecteurs / évaluateurs </w:t>
      </w:r>
      <w:r w:rsidR="00E1638A">
        <w:t>de l’accessibilité numérique (auditeurs)</w:t>
      </w:r>
    </w:p>
    <w:p w:rsidR="00610C76" w:rsidRDefault="00610C76" w:rsidP="00894251">
      <w:pPr>
        <w:pStyle w:val="Paragraphedeliste"/>
        <w:numPr>
          <w:ilvl w:val="1"/>
          <w:numId w:val="2"/>
        </w:numPr>
        <w:ind w:left="1788"/>
      </w:pPr>
      <w:r>
        <w:t xml:space="preserve">Pour </w:t>
      </w:r>
      <w:r w:rsidR="00894251">
        <w:t xml:space="preserve">ceux qui assurent </w:t>
      </w:r>
      <w:r>
        <w:t>le support aux u</w:t>
      </w:r>
      <w:r w:rsidR="00894251">
        <w:t xml:space="preserve">tilisateurs et devront répondre </w:t>
      </w:r>
      <w:r>
        <w:t xml:space="preserve">aux besoins de solutions alternatives adaptées </w:t>
      </w:r>
      <w:r w:rsidR="00894251">
        <w:t>(sollicitations reçues</w:t>
      </w:r>
      <w:r>
        <w:t xml:space="preserve"> par les canaux de contact</w:t>
      </w:r>
      <w:r w:rsidR="00894251">
        <w:t>)</w:t>
      </w:r>
    </w:p>
    <w:p w:rsidR="00610C76" w:rsidRDefault="00610C76" w:rsidP="00894251">
      <w:pPr>
        <w:pStyle w:val="Paragraphedeliste"/>
        <w:numPr>
          <w:ilvl w:val="1"/>
          <w:numId w:val="2"/>
        </w:numPr>
        <w:spacing w:after="0"/>
        <w:ind w:left="1786" w:hanging="357"/>
        <w:contextualSpacing w:val="0"/>
      </w:pPr>
      <w:r>
        <w:t>Pour le/les référents accessibilité numérique</w:t>
      </w:r>
    </w:p>
    <w:p w:rsidR="00E1638A" w:rsidRPr="00894251" w:rsidRDefault="00E1638A" w:rsidP="00894251">
      <w:pPr>
        <w:pStyle w:val="Paragraphedeliste"/>
        <w:numPr>
          <w:ilvl w:val="0"/>
          <w:numId w:val="2"/>
        </w:numPr>
        <w:spacing w:before="60" w:after="0"/>
        <w:ind w:left="1423" w:hanging="357"/>
        <w:contextualSpacing w:val="0"/>
        <w:rPr>
          <w:b/>
        </w:rPr>
      </w:pPr>
      <w:r w:rsidRPr="00894251">
        <w:rPr>
          <w:b/>
        </w:rPr>
        <w:t>Besoin en audit</w:t>
      </w:r>
      <w:r w:rsidR="003B166D">
        <w:rPr>
          <w:b/>
        </w:rPr>
        <w:t>s</w:t>
      </w:r>
      <w:r w:rsidRPr="00894251">
        <w:rPr>
          <w:b/>
        </w:rPr>
        <w:t xml:space="preserve"> </w:t>
      </w:r>
      <w:r w:rsidR="00F873EF" w:rsidRPr="00894251">
        <w:rPr>
          <w:b/>
        </w:rPr>
        <w:t>d’accessibilité numérique</w:t>
      </w:r>
      <w:r w:rsidR="003B166D">
        <w:rPr>
          <w:b/>
        </w:rPr>
        <w:t xml:space="preserve"> : </w:t>
      </w:r>
      <w:r w:rsidR="003B166D" w:rsidRPr="003B166D">
        <w:t>plusieurs formes d’audit</w:t>
      </w:r>
    </w:p>
    <w:p w:rsidR="00E1638A" w:rsidRDefault="00E1638A" w:rsidP="00894251">
      <w:pPr>
        <w:pStyle w:val="Paragraphedeliste"/>
        <w:numPr>
          <w:ilvl w:val="1"/>
          <w:numId w:val="2"/>
        </w:numPr>
        <w:spacing w:after="0"/>
        <w:ind w:left="1782" w:hanging="357"/>
        <w:contextualSpacing w:val="0"/>
      </w:pPr>
      <w:r>
        <w:t>Audits partiels pour identifier les défauts d’accessibilité</w:t>
      </w:r>
      <w:r w:rsidR="001D3856">
        <w:t xml:space="preserve"> des livraisons numériques</w:t>
      </w:r>
    </w:p>
    <w:p w:rsidR="00E1638A" w:rsidRDefault="00E1638A" w:rsidP="00894251">
      <w:pPr>
        <w:pStyle w:val="Paragraphedeliste"/>
        <w:numPr>
          <w:ilvl w:val="1"/>
          <w:numId w:val="2"/>
        </w:numPr>
        <w:spacing w:after="0"/>
        <w:ind w:left="1782" w:hanging="357"/>
        <w:contextualSpacing w:val="0"/>
      </w:pPr>
      <w:r>
        <w:lastRenderedPageBreak/>
        <w:t>Contre-audits pour vérifier l’effectivité de correction des défauts</w:t>
      </w:r>
    </w:p>
    <w:p w:rsidR="00E1638A" w:rsidRDefault="00E1638A" w:rsidP="00894251">
      <w:pPr>
        <w:pStyle w:val="Paragraphedeliste"/>
        <w:numPr>
          <w:ilvl w:val="1"/>
          <w:numId w:val="2"/>
        </w:numPr>
        <w:spacing w:after="0"/>
        <w:ind w:left="1782" w:hanging="357"/>
        <w:contextualSpacing w:val="0"/>
      </w:pPr>
      <w:r>
        <w:t>Audit de contrôle pour établir une déclaration d’accessibilité</w:t>
      </w:r>
    </w:p>
    <w:p w:rsidR="00F873EF" w:rsidRDefault="00F873EF" w:rsidP="00894251">
      <w:pPr>
        <w:pStyle w:val="Paragraphedeliste"/>
        <w:numPr>
          <w:ilvl w:val="0"/>
          <w:numId w:val="2"/>
        </w:numPr>
        <w:spacing w:before="60" w:after="0"/>
        <w:ind w:left="1423" w:hanging="357"/>
        <w:contextualSpacing w:val="0"/>
        <w:rPr>
          <w:b/>
        </w:rPr>
      </w:pPr>
      <w:r w:rsidRPr="00894251">
        <w:rPr>
          <w:b/>
        </w:rPr>
        <w:t>Besoin en accompagnement pour pallier aux défauts d’accessibilité</w:t>
      </w:r>
    </w:p>
    <w:p w:rsidR="003B166D" w:rsidRPr="00E47725" w:rsidRDefault="003B166D" w:rsidP="00E47725">
      <w:pPr>
        <w:spacing w:before="60" w:after="0"/>
        <w:ind w:left="1416"/>
      </w:pPr>
      <w:r w:rsidRPr="00E47725">
        <w:t>L’origine des déf</w:t>
      </w:r>
      <w:r w:rsidR="00E47725">
        <w:t>auts est majoritairement due à 3</w:t>
      </w:r>
      <w:r w:rsidRPr="00E47725">
        <w:t xml:space="preserve"> causes :</w:t>
      </w:r>
    </w:p>
    <w:p w:rsidR="003B166D" w:rsidRPr="00E47725" w:rsidRDefault="003B166D" w:rsidP="00E47725">
      <w:pPr>
        <w:pStyle w:val="Paragraphedeliste"/>
        <w:numPr>
          <w:ilvl w:val="1"/>
          <w:numId w:val="2"/>
        </w:numPr>
        <w:spacing w:after="0"/>
        <w:ind w:left="1782" w:hanging="357"/>
        <w:contextualSpacing w:val="0"/>
      </w:pPr>
      <w:r w:rsidRPr="00E47725">
        <w:t>le code source des développements</w:t>
      </w:r>
    </w:p>
    <w:p w:rsidR="00F873EF" w:rsidRDefault="00F873EF" w:rsidP="00E47725">
      <w:pPr>
        <w:pStyle w:val="Paragraphedeliste"/>
        <w:numPr>
          <w:ilvl w:val="2"/>
          <w:numId w:val="2"/>
        </w:numPr>
        <w:ind w:left="2508"/>
      </w:pPr>
      <w:r>
        <w:t xml:space="preserve">Accompagnement des équipes </w:t>
      </w:r>
      <w:r w:rsidR="003B166D">
        <w:t xml:space="preserve">de développement </w:t>
      </w:r>
      <w:r>
        <w:t xml:space="preserve">par un expert </w:t>
      </w:r>
      <w:r w:rsidR="00E47725">
        <w:t>en développement accessible</w:t>
      </w:r>
    </w:p>
    <w:p w:rsidR="00E47725" w:rsidRDefault="00E47725" w:rsidP="00E47725">
      <w:pPr>
        <w:pStyle w:val="Paragraphedeliste"/>
        <w:numPr>
          <w:ilvl w:val="1"/>
          <w:numId w:val="2"/>
        </w:numPr>
        <w:spacing w:after="0"/>
        <w:ind w:left="1782" w:hanging="357"/>
        <w:contextualSpacing w:val="0"/>
      </w:pPr>
      <w:r>
        <w:t>des contenus non accessibles (documents, média vidéo ou audiovidéo)</w:t>
      </w:r>
    </w:p>
    <w:p w:rsidR="00E47725" w:rsidRDefault="00E47725" w:rsidP="00E47725">
      <w:pPr>
        <w:pStyle w:val="Paragraphedeliste"/>
        <w:numPr>
          <w:ilvl w:val="2"/>
          <w:numId w:val="2"/>
        </w:numPr>
        <w:ind w:left="2508"/>
      </w:pPr>
      <w:r>
        <w:t>Accompagnement des équipes réalisant des contenus par un expert en réalisation de contenus accessibles</w:t>
      </w:r>
    </w:p>
    <w:p w:rsidR="00E47725" w:rsidRDefault="00E47725" w:rsidP="00E47725">
      <w:pPr>
        <w:pStyle w:val="Paragraphedeliste"/>
        <w:numPr>
          <w:ilvl w:val="1"/>
          <w:numId w:val="2"/>
        </w:numPr>
        <w:spacing w:after="0"/>
        <w:ind w:left="1782" w:hanging="357"/>
        <w:contextualSpacing w:val="0"/>
      </w:pPr>
      <w:r>
        <w:t>Une conception ne répondant pas aux exigences d’accessibilité (souvent le cas, quand on vérifie l’accessibilité juste avant la mise en ligne du service)</w:t>
      </w:r>
    </w:p>
    <w:p w:rsidR="00E47725" w:rsidRDefault="00E47725" w:rsidP="00E078B9">
      <w:pPr>
        <w:pStyle w:val="Paragraphedeliste"/>
        <w:numPr>
          <w:ilvl w:val="2"/>
          <w:numId w:val="2"/>
        </w:numPr>
        <w:spacing w:after="0"/>
        <w:ind w:left="2506" w:hanging="357"/>
        <w:contextualSpacing w:val="0"/>
      </w:pPr>
      <w:r>
        <w:t>Accompagnement des équipes par un expert en design de service répondant aux exigences d’accessibilité</w:t>
      </w:r>
      <w:r w:rsidR="00E078B9">
        <w:t xml:space="preserve"> (en fonction de l’étape du cycle : maquette, prototype, recherche utilisateur, tests utilisateurs, …)</w:t>
      </w:r>
    </w:p>
    <w:p w:rsidR="00F873EF" w:rsidRDefault="00F873EF" w:rsidP="00E078B9">
      <w:pPr>
        <w:pStyle w:val="Paragraphedeliste"/>
        <w:numPr>
          <w:ilvl w:val="0"/>
          <w:numId w:val="4"/>
        </w:numPr>
        <w:spacing w:before="120" w:after="0"/>
        <w:ind w:left="1066" w:hanging="357"/>
        <w:contextualSpacing w:val="0"/>
      </w:pPr>
      <w:r>
        <w:t xml:space="preserve">Pour la stratégie </w:t>
      </w:r>
      <w:r w:rsidR="0033083F">
        <w:t xml:space="preserve">de mise en accessibilité des </w:t>
      </w:r>
      <w:r w:rsidR="00E078B9">
        <w:t>services</w:t>
      </w:r>
      <w:r w:rsidR="0033083F">
        <w:t xml:space="preserve"> numériques de l’organisme</w:t>
      </w:r>
    </w:p>
    <w:p w:rsidR="00F873EF" w:rsidRPr="003B166D" w:rsidRDefault="00F873EF" w:rsidP="00894251">
      <w:pPr>
        <w:pStyle w:val="Paragraphedeliste"/>
        <w:numPr>
          <w:ilvl w:val="0"/>
          <w:numId w:val="2"/>
        </w:numPr>
        <w:ind w:left="1428"/>
        <w:rPr>
          <w:b/>
        </w:rPr>
      </w:pPr>
      <w:r w:rsidRPr="003B166D">
        <w:rPr>
          <w:b/>
        </w:rPr>
        <w:t>Besoin en accompagnement pour élaborer un schéma pluriannuel de mise en accessibilité</w:t>
      </w:r>
    </w:p>
    <w:p w:rsidR="00E078B9" w:rsidRDefault="00E078B9" w:rsidP="008C305D">
      <w:pPr>
        <w:spacing w:before="240" w:after="60"/>
        <w:rPr>
          <w:i/>
          <w:sz w:val="24"/>
        </w:rPr>
      </w:pPr>
      <w:r>
        <w:rPr>
          <w:i/>
          <w:sz w:val="24"/>
        </w:rPr>
        <w:t xml:space="preserve">J’en profite pour vous signaler que le pôle design des services numériques de la DINUM organise </w:t>
      </w:r>
      <w:r w:rsidR="008C305D" w:rsidRPr="008C305D">
        <w:rPr>
          <w:i/>
          <w:sz w:val="24"/>
        </w:rPr>
        <w:t>régulièrement des ateliers ouverts aux agents</w:t>
      </w:r>
      <w:r w:rsidR="008C305D">
        <w:rPr>
          <w:i/>
          <w:sz w:val="24"/>
        </w:rPr>
        <w:t xml:space="preserve"> </w:t>
      </w:r>
      <w:r w:rsidR="008C305D" w:rsidRPr="008C305D">
        <w:rPr>
          <w:i/>
          <w:sz w:val="24"/>
        </w:rPr>
        <w:t>publics, sur le design, la recherche utilisateur, la mise en accessibilité des documents, la</w:t>
      </w:r>
      <w:r w:rsidR="008C305D">
        <w:rPr>
          <w:i/>
          <w:sz w:val="24"/>
        </w:rPr>
        <w:t xml:space="preserve"> </w:t>
      </w:r>
      <w:r w:rsidR="008C305D" w:rsidRPr="008C305D">
        <w:rPr>
          <w:i/>
          <w:sz w:val="24"/>
        </w:rPr>
        <w:t xml:space="preserve">conception de services numériques accessibles, </w:t>
      </w:r>
      <w:r w:rsidR="008C305D">
        <w:rPr>
          <w:i/>
          <w:sz w:val="24"/>
        </w:rPr>
        <w:t xml:space="preserve">la réalisation d’audit, </w:t>
      </w:r>
      <w:r w:rsidR="008C305D" w:rsidRPr="008C305D">
        <w:rPr>
          <w:i/>
          <w:sz w:val="24"/>
        </w:rPr>
        <w:t>etc. Des enregistrements de ces formations</w:t>
      </w:r>
      <w:r w:rsidR="008C305D">
        <w:rPr>
          <w:i/>
          <w:sz w:val="24"/>
        </w:rPr>
        <w:t xml:space="preserve"> </w:t>
      </w:r>
      <w:r w:rsidR="008C305D" w:rsidRPr="008C305D">
        <w:rPr>
          <w:i/>
          <w:sz w:val="24"/>
        </w:rPr>
        <w:t xml:space="preserve">sont mis à disposition en vidéos accessibles sur </w:t>
      </w:r>
      <w:hyperlink r:id="rId5" w:history="1">
        <w:r w:rsidR="008C305D" w:rsidRPr="008C305D">
          <w:rPr>
            <w:rStyle w:val="Lienhypertexte"/>
            <w:i/>
            <w:sz w:val="24"/>
          </w:rPr>
          <w:t>design.numerique.gouv.fr</w:t>
        </w:r>
      </w:hyperlink>
      <w:r w:rsidR="008C305D" w:rsidRPr="008C305D">
        <w:rPr>
          <w:i/>
          <w:sz w:val="24"/>
        </w:rPr>
        <w:t xml:space="preserve"> avec le calendrier</w:t>
      </w:r>
      <w:r w:rsidR="008C305D">
        <w:rPr>
          <w:i/>
          <w:sz w:val="24"/>
        </w:rPr>
        <w:t xml:space="preserve"> </w:t>
      </w:r>
      <w:r w:rsidR="008C305D" w:rsidRPr="008C305D">
        <w:rPr>
          <w:i/>
          <w:sz w:val="24"/>
        </w:rPr>
        <w:t>des prochaines séances.</w:t>
      </w:r>
    </w:p>
    <w:p w:rsidR="003B166D" w:rsidRPr="003B166D" w:rsidRDefault="003B166D" w:rsidP="003B166D">
      <w:pPr>
        <w:spacing w:before="240" w:after="60"/>
        <w:rPr>
          <w:i/>
          <w:sz w:val="24"/>
        </w:rPr>
      </w:pPr>
      <w:r w:rsidRPr="003B166D">
        <w:rPr>
          <w:i/>
          <w:sz w:val="24"/>
        </w:rPr>
        <w:t xml:space="preserve">Et j’anticipe votre prochaine question, sur les aides financières </w:t>
      </w:r>
      <w:r>
        <w:rPr>
          <w:i/>
          <w:sz w:val="24"/>
        </w:rPr>
        <w:t>du FIPHFP, en passant la parole à Marc</w:t>
      </w:r>
    </w:p>
    <w:p w:rsidR="003B166D" w:rsidRPr="001D57DB" w:rsidRDefault="003B166D" w:rsidP="009B33FD">
      <w:pPr>
        <w:pStyle w:val="Titre2"/>
        <w:spacing w:before="240"/>
      </w:pPr>
      <w:r w:rsidRPr="001D57DB">
        <w:t>Question du modérateur : « </w:t>
      </w:r>
      <w:r w:rsidR="008C305D" w:rsidRPr="009B33FD">
        <w:rPr>
          <w:b/>
        </w:rPr>
        <w:t xml:space="preserve">Quelles aides financières peut apporter le FIPHFP sur des prestations relatives à ces besoins </w:t>
      </w:r>
      <w:r w:rsidRPr="009B33FD">
        <w:rPr>
          <w:b/>
        </w:rPr>
        <w:t>? </w:t>
      </w:r>
      <w:r w:rsidRPr="001D57DB">
        <w:t>»</w:t>
      </w:r>
    </w:p>
    <w:p w:rsidR="008C305D" w:rsidRDefault="008C305D" w:rsidP="008C305D">
      <w:pPr>
        <w:spacing w:after="60"/>
        <w:rPr>
          <w:rFonts w:ascii="Arial" w:hAnsi="Arial" w:cs="Arial"/>
        </w:rPr>
      </w:pPr>
      <w:r>
        <w:rPr>
          <w:rFonts w:ascii="Arial" w:hAnsi="Arial" w:cs="Arial"/>
        </w:rPr>
        <w:t xml:space="preserve">Réponse FIPHFP : </w:t>
      </w:r>
    </w:p>
    <w:p w:rsidR="0033083F" w:rsidRDefault="008C305D" w:rsidP="008C305D">
      <w:pPr>
        <w:spacing w:before="120" w:after="0"/>
        <w:ind w:left="708"/>
        <w:rPr>
          <w:i/>
          <w:sz w:val="24"/>
        </w:rPr>
      </w:pPr>
      <w:r w:rsidRPr="008C305D">
        <w:rPr>
          <w:i/>
          <w:sz w:val="24"/>
        </w:rPr>
        <w:t>Intervention de Marc DESJARDIN</w:t>
      </w:r>
    </w:p>
    <w:p w:rsidR="009B33FD" w:rsidRDefault="009B33FD" w:rsidP="008C305D">
      <w:pPr>
        <w:spacing w:before="120" w:after="0"/>
        <w:ind w:left="708"/>
        <w:rPr>
          <w:i/>
          <w:sz w:val="24"/>
        </w:rPr>
      </w:pPr>
      <w:r>
        <w:rPr>
          <w:i/>
          <w:sz w:val="24"/>
        </w:rPr>
        <w:t>…</w:t>
      </w:r>
    </w:p>
    <w:p w:rsidR="009B33FD" w:rsidRPr="009B33FD" w:rsidRDefault="009B33FD" w:rsidP="009B33FD">
      <w:pPr>
        <w:pStyle w:val="Titre2"/>
        <w:spacing w:before="240"/>
        <w:rPr>
          <w:b/>
        </w:rPr>
      </w:pPr>
      <w:r w:rsidRPr="009B33FD">
        <w:rPr>
          <w:b/>
        </w:rPr>
        <w:t>Séance de questions/réponses avec les participants</w:t>
      </w:r>
    </w:p>
    <w:p w:rsidR="009B33FD" w:rsidRDefault="009B33FD" w:rsidP="009B33FD">
      <w:pPr>
        <w:spacing w:before="120" w:after="0"/>
        <w:ind w:left="708"/>
        <w:rPr>
          <w:i/>
          <w:sz w:val="24"/>
        </w:rPr>
      </w:pPr>
      <w:r>
        <w:rPr>
          <w:i/>
          <w:sz w:val="24"/>
        </w:rPr>
        <w:t>…</w:t>
      </w:r>
    </w:p>
    <w:p w:rsidR="009B33FD" w:rsidRPr="009B33FD" w:rsidRDefault="008C305D" w:rsidP="009B33FD">
      <w:pPr>
        <w:pStyle w:val="Titre2"/>
        <w:spacing w:before="240"/>
      </w:pPr>
      <w:r w:rsidRPr="009B33FD">
        <w:t xml:space="preserve">Avant la fin de la session, </w:t>
      </w:r>
    </w:p>
    <w:p w:rsidR="008C305D" w:rsidRPr="001D57DB" w:rsidRDefault="009B33FD" w:rsidP="009B33FD">
      <w:pPr>
        <w:pStyle w:val="Titre2"/>
      </w:pPr>
      <w:r>
        <w:t>Q</w:t>
      </w:r>
      <w:r w:rsidR="008C305D" w:rsidRPr="001D57DB">
        <w:t>uestion du modérateur : « </w:t>
      </w:r>
      <w:r w:rsidR="008C305D" w:rsidRPr="009B33FD">
        <w:rPr>
          <w:b/>
        </w:rPr>
        <w:t>Pour terminer cette session, quelques mots de conclusion ?</w:t>
      </w:r>
      <w:r w:rsidR="008C305D" w:rsidRPr="001D57DB">
        <w:t> »</w:t>
      </w:r>
    </w:p>
    <w:p w:rsidR="008C305D" w:rsidRDefault="008C305D" w:rsidP="008C305D">
      <w:pPr>
        <w:spacing w:after="60"/>
        <w:rPr>
          <w:rFonts w:ascii="Arial" w:hAnsi="Arial" w:cs="Arial"/>
        </w:rPr>
      </w:pPr>
      <w:r>
        <w:rPr>
          <w:rFonts w:ascii="Arial" w:hAnsi="Arial" w:cs="Arial"/>
        </w:rPr>
        <w:t xml:space="preserve">Réponse DINUM : </w:t>
      </w:r>
    </w:p>
    <w:p w:rsidR="008C305D" w:rsidRPr="008C305D" w:rsidRDefault="008C305D" w:rsidP="009B33FD">
      <w:pPr>
        <w:spacing w:before="120" w:after="0" w:line="240" w:lineRule="auto"/>
        <w:ind w:left="709"/>
        <w:rPr>
          <w:sz w:val="24"/>
        </w:rPr>
      </w:pPr>
      <w:r>
        <w:rPr>
          <w:sz w:val="24"/>
        </w:rPr>
        <w:t>Pour conclure, je rappellerai un des principes sur lequel communique régulièrement le pôle design des services numériques </w:t>
      </w:r>
      <w:r w:rsidR="0006670B">
        <w:rPr>
          <w:sz w:val="24"/>
        </w:rPr>
        <w:t xml:space="preserve"> de la DINUM </w:t>
      </w:r>
      <w:r>
        <w:rPr>
          <w:sz w:val="24"/>
        </w:rPr>
        <w:t xml:space="preserve">: </w:t>
      </w:r>
      <w:r w:rsidR="009B33FD" w:rsidRPr="009B33FD">
        <w:rPr>
          <w:i/>
          <w:sz w:val="24"/>
        </w:rPr>
        <w:t>« la nécessité de prendre en compte l’accessibilité le plus en amont  possible, dès la conception, dans le design. Ça coûte également beaucoup moins cher et évite que le service publié soit inutilisable. Pour cela, il faut également vérifier l’accessibilité avec des tests p</w:t>
      </w:r>
      <w:r w:rsidR="009B33FD">
        <w:rPr>
          <w:i/>
          <w:sz w:val="24"/>
        </w:rPr>
        <w:t>ar des utilisateurs handicapés car on</w:t>
      </w:r>
      <w:r w:rsidR="009B33FD" w:rsidRPr="009B33FD">
        <w:rPr>
          <w:i/>
          <w:sz w:val="24"/>
        </w:rPr>
        <w:t xml:space="preserve"> est humain</w:t>
      </w:r>
      <w:r w:rsidR="009B33FD">
        <w:rPr>
          <w:i/>
          <w:sz w:val="24"/>
        </w:rPr>
        <w:t xml:space="preserve"> et biaisé par nos propres sens :</w:t>
      </w:r>
      <w:r w:rsidR="009B33FD" w:rsidRPr="009B33FD">
        <w:rPr>
          <w:i/>
          <w:sz w:val="24"/>
        </w:rPr>
        <w:t xml:space="preserve"> Rien ne vaut l’utilisateur réel. »</w:t>
      </w:r>
    </w:p>
    <w:p w:rsidR="009B33FD" w:rsidRDefault="009B33FD" w:rsidP="009B33FD">
      <w:pPr>
        <w:spacing w:before="240" w:after="60"/>
        <w:rPr>
          <w:rFonts w:ascii="Arial" w:hAnsi="Arial" w:cs="Arial"/>
        </w:rPr>
      </w:pPr>
      <w:r>
        <w:rPr>
          <w:rFonts w:ascii="Arial" w:hAnsi="Arial" w:cs="Arial"/>
        </w:rPr>
        <w:t xml:space="preserve">Réponse FIPHFP : </w:t>
      </w:r>
    </w:p>
    <w:p w:rsidR="009B33FD" w:rsidRDefault="009B33FD" w:rsidP="009B33FD">
      <w:pPr>
        <w:spacing w:before="120" w:after="0"/>
        <w:ind w:left="708"/>
        <w:rPr>
          <w:i/>
          <w:sz w:val="24"/>
        </w:rPr>
      </w:pPr>
      <w:proofErr w:type="gramStart"/>
      <w:r>
        <w:rPr>
          <w:i/>
          <w:sz w:val="24"/>
        </w:rPr>
        <w:t>conclus</w:t>
      </w:r>
      <w:r w:rsidRPr="008C305D">
        <w:rPr>
          <w:i/>
          <w:sz w:val="24"/>
        </w:rPr>
        <w:t>ion</w:t>
      </w:r>
      <w:proofErr w:type="gramEnd"/>
      <w:r w:rsidRPr="008C305D">
        <w:rPr>
          <w:i/>
          <w:sz w:val="24"/>
        </w:rPr>
        <w:t xml:space="preserve"> de Marc DESJARDIN</w:t>
      </w:r>
    </w:p>
    <w:p w:rsidR="009B33FD" w:rsidRPr="009B33FD" w:rsidRDefault="009B33FD" w:rsidP="009B33FD">
      <w:pPr>
        <w:pStyle w:val="Titre2"/>
        <w:spacing w:before="240"/>
        <w:rPr>
          <w:i/>
          <w:color w:val="auto"/>
        </w:rPr>
      </w:pPr>
      <w:r w:rsidRPr="009B33FD">
        <w:rPr>
          <w:i/>
          <w:color w:val="auto"/>
        </w:rPr>
        <w:t>Fin de la session 3</w:t>
      </w:r>
    </w:p>
    <w:sectPr w:rsidR="009B33FD" w:rsidRPr="009B33FD" w:rsidSect="001D57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4284A"/>
    <w:multiLevelType w:val="hybridMultilevel"/>
    <w:tmpl w:val="AE4C298C"/>
    <w:lvl w:ilvl="0" w:tplc="849A8534">
      <w:start w:val="1"/>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 w15:restartNumberingAfterBreak="0">
    <w:nsid w:val="5AA54776"/>
    <w:multiLevelType w:val="hybridMultilevel"/>
    <w:tmpl w:val="275A2ECA"/>
    <w:lvl w:ilvl="0" w:tplc="76B68DF2">
      <w:start w:val="2"/>
      <w:numFmt w:val="bullet"/>
      <w:lvlText w:val="-"/>
      <w:lvlJc w:val="left"/>
      <w:pPr>
        <w:ind w:left="1783" w:hanging="360"/>
      </w:pPr>
      <w:rPr>
        <w:rFonts w:ascii="Calibri" w:eastAsiaTheme="minorHAnsi" w:hAnsi="Calibri" w:cs="Calibri" w:hint="default"/>
      </w:rPr>
    </w:lvl>
    <w:lvl w:ilvl="1" w:tplc="040C0003" w:tentative="1">
      <w:start w:val="1"/>
      <w:numFmt w:val="bullet"/>
      <w:lvlText w:val="o"/>
      <w:lvlJc w:val="left"/>
      <w:pPr>
        <w:ind w:left="2503" w:hanging="360"/>
      </w:pPr>
      <w:rPr>
        <w:rFonts w:ascii="Courier New" w:hAnsi="Courier New" w:cs="Courier New" w:hint="default"/>
      </w:rPr>
    </w:lvl>
    <w:lvl w:ilvl="2" w:tplc="040C0005" w:tentative="1">
      <w:start w:val="1"/>
      <w:numFmt w:val="bullet"/>
      <w:lvlText w:val=""/>
      <w:lvlJc w:val="left"/>
      <w:pPr>
        <w:ind w:left="3223" w:hanging="360"/>
      </w:pPr>
      <w:rPr>
        <w:rFonts w:ascii="Wingdings" w:hAnsi="Wingdings" w:hint="default"/>
      </w:rPr>
    </w:lvl>
    <w:lvl w:ilvl="3" w:tplc="040C0001" w:tentative="1">
      <w:start w:val="1"/>
      <w:numFmt w:val="bullet"/>
      <w:lvlText w:val=""/>
      <w:lvlJc w:val="left"/>
      <w:pPr>
        <w:ind w:left="3943" w:hanging="360"/>
      </w:pPr>
      <w:rPr>
        <w:rFonts w:ascii="Symbol" w:hAnsi="Symbol" w:hint="default"/>
      </w:rPr>
    </w:lvl>
    <w:lvl w:ilvl="4" w:tplc="040C0003" w:tentative="1">
      <w:start w:val="1"/>
      <w:numFmt w:val="bullet"/>
      <w:lvlText w:val="o"/>
      <w:lvlJc w:val="left"/>
      <w:pPr>
        <w:ind w:left="4663" w:hanging="360"/>
      </w:pPr>
      <w:rPr>
        <w:rFonts w:ascii="Courier New" w:hAnsi="Courier New" w:cs="Courier New" w:hint="default"/>
      </w:rPr>
    </w:lvl>
    <w:lvl w:ilvl="5" w:tplc="040C0005" w:tentative="1">
      <w:start w:val="1"/>
      <w:numFmt w:val="bullet"/>
      <w:lvlText w:val=""/>
      <w:lvlJc w:val="left"/>
      <w:pPr>
        <w:ind w:left="5383" w:hanging="360"/>
      </w:pPr>
      <w:rPr>
        <w:rFonts w:ascii="Wingdings" w:hAnsi="Wingdings" w:hint="default"/>
      </w:rPr>
    </w:lvl>
    <w:lvl w:ilvl="6" w:tplc="040C0001" w:tentative="1">
      <w:start w:val="1"/>
      <w:numFmt w:val="bullet"/>
      <w:lvlText w:val=""/>
      <w:lvlJc w:val="left"/>
      <w:pPr>
        <w:ind w:left="6103" w:hanging="360"/>
      </w:pPr>
      <w:rPr>
        <w:rFonts w:ascii="Symbol" w:hAnsi="Symbol" w:hint="default"/>
      </w:rPr>
    </w:lvl>
    <w:lvl w:ilvl="7" w:tplc="040C0003" w:tentative="1">
      <w:start w:val="1"/>
      <w:numFmt w:val="bullet"/>
      <w:lvlText w:val="o"/>
      <w:lvlJc w:val="left"/>
      <w:pPr>
        <w:ind w:left="6823" w:hanging="360"/>
      </w:pPr>
      <w:rPr>
        <w:rFonts w:ascii="Courier New" w:hAnsi="Courier New" w:cs="Courier New" w:hint="default"/>
      </w:rPr>
    </w:lvl>
    <w:lvl w:ilvl="8" w:tplc="040C0005" w:tentative="1">
      <w:start w:val="1"/>
      <w:numFmt w:val="bullet"/>
      <w:lvlText w:val=""/>
      <w:lvlJc w:val="left"/>
      <w:pPr>
        <w:ind w:left="7543" w:hanging="360"/>
      </w:pPr>
      <w:rPr>
        <w:rFonts w:ascii="Wingdings" w:hAnsi="Wingdings" w:hint="default"/>
      </w:rPr>
    </w:lvl>
  </w:abstractNum>
  <w:abstractNum w:abstractNumId="2" w15:restartNumberingAfterBreak="0">
    <w:nsid w:val="731E23F9"/>
    <w:multiLevelType w:val="multilevel"/>
    <w:tmpl w:val="6952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985E86"/>
    <w:multiLevelType w:val="hybridMultilevel"/>
    <w:tmpl w:val="2A3EEC1C"/>
    <w:lvl w:ilvl="0" w:tplc="B5725BA6">
      <w:start w:val="1"/>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EAC5968"/>
    <w:multiLevelType w:val="hybridMultilevel"/>
    <w:tmpl w:val="AA88A4D8"/>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54E"/>
    <w:rsid w:val="0006670B"/>
    <w:rsid w:val="001B6D8A"/>
    <w:rsid w:val="001D3856"/>
    <w:rsid w:val="001D57DB"/>
    <w:rsid w:val="002461FD"/>
    <w:rsid w:val="002909C4"/>
    <w:rsid w:val="0033083F"/>
    <w:rsid w:val="00332CC6"/>
    <w:rsid w:val="003B166D"/>
    <w:rsid w:val="00610C76"/>
    <w:rsid w:val="00894251"/>
    <w:rsid w:val="008C305D"/>
    <w:rsid w:val="008F35E7"/>
    <w:rsid w:val="00932786"/>
    <w:rsid w:val="009B33FD"/>
    <w:rsid w:val="00A54E66"/>
    <w:rsid w:val="00C4354E"/>
    <w:rsid w:val="00DF279A"/>
    <w:rsid w:val="00E078B9"/>
    <w:rsid w:val="00E1638A"/>
    <w:rsid w:val="00E47725"/>
    <w:rsid w:val="00EF5A3A"/>
    <w:rsid w:val="00F8656E"/>
    <w:rsid w:val="00F873EF"/>
    <w:rsid w:val="00FE38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76B53-8FB8-4886-B680-A9490F5E5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9B33FD"/>
    <w:pPr>
      <w:outlineLvl w:val="0"/>
    </w:pPr>
    <w:rPr>
      <w:rFonts w:ascii="Arial" w:hAnsi="Arial" w:cs="Arial"/>
      <w:b/>
    </w:rPr>
  </w:style>
  <w:style w:type="paragraph" w:styleId="Titre2">
    <w:name w:val="heading 2"/>
    <w:basedOn w:val="Normal"/>
    <w:next w:val="Normal"/>
    <w:link w:val="Titre2Car"/>
    <w:uiPriority w:val="9"/>
    <w:unhideWhenUsed/>
    <w:qFormat/>
    <w:rsid w:val="009B33FD"/>
    <w:pPr>
      <w:outlineLvl w:val="1"/>
    </w:pPr>
    <w:rPr>
      <w:rFonts w:ascii="Arial" w:hAnsi="Arial" w:cs="Arial"/>
      <w:color w:val="0033CC"/>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4354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4354E"/>
    <w:rPr>
      <w:b/>
      <w:bCs/>
    </w:rPr>
  </w:style>
  <w:style w:type="paragraph" w:styleId="Paragraphedeliste">
    <w:name w:val="List Paragraph"/>
    <w:basedOn w:val="Normal"/>
    <w:uiPriority w:val="34"/>
    <w:qFormat/>
    <w:rsid w:val="00C4354E"/>
    <w:pPr>
      <w:ind w:left="720"/>
      <w:contextualSpacing/>
    </w:pPr>
  </w:style>
  <w:style w:type="character" w:styleId="Lienhypertexte">
    <w:name w:val="Hyperlink"/>
    <w:basedOn w:val="Policepardfaut"/>
    <w:uiPriority w:val="99"/>
    <w:unhideWhenUsed/>
    <w:rsid w:val="008C305D"/>
    <w:rPr>
      <w:color w:val="0563C1" w:themeColor="hyperlink"/>
      <w:u w:val="single"/>
    </w:rPr>
  </w:style>
  <w:style w:type="character" w:customStyle="1" w:styleId="Titre1Car">
    <w:name w:val="Titre 1 Car"/>
    <w:basedOn w:val="Policepardfaut"/>
    <w:link w:val="Titre1"/>
    <w:uiPriority w:val="9"/>
    <w:rsid w:val="009B33FD"/>
    <w:rPr>
      <w:rFonts w:ascii="Arial" w:hAnsi="Arial" w:cs="Arial"/>
      <w:b/>
    </w:rPr>
  </w:style>
  <w:style w:type="paragraph" w:styleId="Titre">
    <w:name w:val="Title"/>
    <w:basedOn w:val="Titre1"/>
    <w:next w:val="Normal"/>
    <w:link w:val="TitreCar"/>
    <w:uiPriority w:val="10"/>
    <w:qFormat/>
    <w:rsid w:val="009B33FD"/>
  </w:style>
  <w:style w:type="character" w:customStyle="1" w:styleId="TitreCar">
    <w:name w:val="Titre Car"/>
    <w:basedOn w:val="Policepardfaut"/>
    <w:link w:val="Titre"/>
    <w:uiPriority w:val="10"/>
    <w:rsid w:val="009B33FD"/>
    <w:rPr>
      <w:rFonts w:ascii="Arial" w:hAnsi="Arial" w:cs="Arial"/>
    </w:rPr>
  </w:style>
  <w:style w:type="character" w:customStyle="1" w:styleId="Titre2Car">
    <w:name w:val="Titre 2 Car"/>
    <w:basedOn w:val="Policepardfaut"/>
    <w:link w:val="Titre2"/>
    <w:uiPriority w:val="9"/>
    <w:rsid w:val="009B33FD"/>
    <w:rPr>
      <w:rFonts w:ascii="Arial" w:hAnsi="Arial" w:cs="Arial"/>
      <w:color w:val="0033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38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esign.numerique.gouv.fr/formation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854</Words>
  <Characters>4697</Characters>
  <Application>Microsoft Office Word</Application>
  <DocSecurity>0</DocSecurity>
  <Lines>39</Lines>
  <Paragraphs>11</Paragraphs>
  <ScaleCrop>false</ScaleCrop>
  <HeadingPairs>
    <vt:vector size="4" baseType="variant">
      <vt:variant>
        <vt:lpstr>Titre</vt:lpstr>
      </vt:variant>
      <vt:variant>
        <vt:i4>1</vt:i4>
      </vt:variant>
      <vt:variant>
        <vt:lpstr>Titres</vt:lpstr>
      </vt:variant>
      <vt:variant>
        <vt:i4>9</vt:i4>
      </vt:variant>
    </vt:vector>
  </HeadingPairs>
  <TitlesOfParts>
    <vt:vector size="10" baseType="lpstr">
      <vt:lpstr/>
      <vt:lpstr>Colloque FIPHFP – 12 décembre 2022 – session 3</vt:lpstr>
      <vt:lpstr>Animation du déroulé de la session</vt:lpstr>
      <vt:lpstr>    Question du modérateur : « La DINUM peut-elle nous recommander une approche perm</vt:lpstr>
      <vt:lpstr>    Question du modérateur : « Pouvez-vous nous donner des exemples concrets d’actio</vt:lpstr>
      <vt:lpstr>    Question du modérateur : « Quelles aides financières peut apporter le FIPHFP sur</vt:lpstr>
      <vt:lpstr>    Séance de questions/réponses avec les participants</vt:lpstr>
      <vt:lpstr>    Avant la fin de la session, </vt:lpstr>
      <vt:lpstr>    Question du modérateur : « Pour terminer cette session, quelques mots de conclus</vt:lpstr>
      <vt:lpstr>    Fin de la session 3</vt:lpstr>
    </vt:vector>
  </TitlesOfParts>
  <Company>Secrétariat Général</Company>
  <LinksUpToDate>false</LinksUpToDate>
  <CharactersWithSpaces>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Antoine</dc:creator>
  <cp:keywords/>
  <dc:description/>
  <cp:lastModifiedBy>CAO Antoine</cp:lastModifiedBy>
  <cp:revision>4</cp:revision>
  <dcterms:created xsi:type="dcterms:W3CDTF">2022-12-09T15:03:00Z</dcterms:created>
  <dcterms:modified xsi:type="dcterms:W3CDTF">2022-12-09T15:22:00Z</dcterms:modified>
</cp:coreProperties>
</file>